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8D6" w:rsidRPr="00B008D6" w:rsidRDefault="00B008D6" w:rsidP="00B008D6">
      <w:pPr>
        <w:spacing w:after="0" w:line="240" w:lineRule="auto"/>
        <w:rPr>
          <w:rFonts w:ascii="Helvetica" w:eastAsia="Times New Roman" w:hAnsi="Helvetica" w:cs="Helvetica"/>
          <w:color w:val="252324"/>
          <w:sz w:val="21"/>
          <w:szCs w:val="21"/>
        </w:rPr>
      </w:pPr>
      <w:r w:rsidRPr="00B008D6">
        <w:rPr>
          <w:rFonts w:ascii="Helvetica" w:eastAsia="Times New Roman" w:hAnsi="Helvetica" w:cs="Helvetica"/>
          <w:b/>
          <w:bCs/>
          <w:color w:val="252324"/>
          <w:sz w:val="24"/>
          <w:szCs w:val="24"/>
        </w:rPr>
        <w:t> </w:t>
      </w:r>
    </w:p>
    <w:p w:rsidR="00B008D6" w:rsidRDefault="00B008D6" w:rsidP="00B008D6">
      <w:pPr>
        <w:spacing w:after="0" w:line="240" w:lineRule="auto"/>
        <w:rPr>
          <w:rFonts w:ascii="Helvetica" w:eastAsia="Times New Roman" w:hAnsi="Helvetica" w:cs="Helvetica"/>
          <w:b/>
          <w:bCs/>
          <w:color w:val="252324"/>
          <w:sz w:val="24"/>
          <w:szCs w:val="24"/>
        </w:rPr>
      </w:pPr>
      <w:r w:rsidRPr="00B008D6">
        <w:rPr>
          <w:rFonts w:ascii="Helvetica" w:eastAsia="Times New Roman" w:hAnsi="Helvetica" w:cs="Helvetica"/>
          <w:b/>
          <w:bCs/>
          <w:color w:val="252324"/>
          <w:sz w:val="24"/>
          <w:szCs w:val="24"/>
        </w:rPr>
        <w:t>Flet z. Frédéric BLANC, drejtor ekzekutiv i Societe Generale</w:t>
      </w:r>
    </w:p>
    <w:p w:rsidR="00B008D6" w:rsidRDefault="00B008D6" w:rsidP="00B008D6">
      <w:pPr>
        <w:spacing w:after="0" w:line="240" w:lineRule="auto"/>
        <w:rPr>
          <w:rFonts w:ascii="Helvetica" w:eastAsia="Times New Roman" w:hAnsi="Helvetica" w:cs="Helvetica"/>
          <w:b/>
          <w:bCs/>
          <w:color w:val="252324"/>
          <w:sz w:val="24"/>
          <w:szCs w:val="24"/>
        </w:rPr>
      </w:pPr>
    </w:p>
    <w:p w:rsidR="00B008D6" w:rsidRDefault="00B008D6" w:rsidP="00B008D6">
      <w:pPr>
        <w:spacing w:after="0" w:line="240" w:lineRule="auto"/>
        <w:rPr>
          <w:rFonts w:ascii="Helvetica" w:eastAsia="Times New Roman" w:hAnsi="Helvetica" w:cs="Helvetica"/>
          <w:b/>
          <w:bCs/>
          <w:color w:val="252324"/>
          <w:sz w:val="24"/>
          <w:szCs w:val="24"/>
        </w:rPr>
      </w:pPr>
    </w:p>
    <w:p w:rsidR="00B008D6" w:rsidRPr="00B008D6" w:rsidRDefault="00B008D6" w:rsidP="00B008D6">
      <w:pPr>
        <w:spacing w:after="0" w:line="240" w:lineRule="auto"/>
        <w:rPr>
          <w:rFonts w:ascii="Helvetica" w:eastAsia="Times New Roman" w:hAnsi="Helvetica" w:cs="Helvetica"/>
          <w:color w:val="252324"/>
          <w:sz w:val="21"/>
          <w:szCs w:val="21"/>
        </w:rPr>
      </w:pPr>
    </w:p>
    <w:p w:rsidR="00B008D6" w:rsidRDefault="00B008D6" w:rsidP="00B008D6">
      <w:pPr>
        <w:spacing w:after="0" w:line="240" w:lineRule="auto"/>
        <w:rPr>
          <w:rFonts w:ascii="Helvetica" w:eastAsia="Times New Roman" w:hAnsi="Helvetica" w:cs="Helvetica"/>
          <w:b/>
          <w:bCs/>
          <w:color w:val="252324"/>
          <w:sz w:val="24"/>
          <w:szCs w:val="24"/>
        </w:rPr>
      </w:pPr>
      <w:r w:rsidRPr="00B008D6">
        <w:rPr>
          <w:rFonts w:ascii="Helvetica" w:eastAsia="Times New Roman" w:hAnsi="Helvetica" w:cs="Helvetica"/>
          <w:b/>
          <w:bCs/>
          <w:color w:val="252324"/>
          <w:sz w:val="24"/>
          <w:szCs w:val="24"/>
        </w:rPr>
        <w:t>Më e keqja ka kaluar</w:t>
      </w:r>
    </w:p>
    <w:p w:rsidR="00B008D6" w:rsidRPr="00B008D6" w:rsidRDefault="00B008D6" w:rsidP="00B008D6">
      <w:pPr>
        <w:spacing w:after="0" w:line="240" w:lineRule="auto"/>
        <w:rPr>
          <w:rFonts w:ascii="Helvetica" w:eastAsia="Times New Roman" w:hAnsi="Helvetica" w:cs="Helvetica"/>
          <w:color w:val="252324"/>
          <w:sz w:val="21"/>
          <w:szCs w:val="21"/>
        </w:rPr>
      </w:pPr>
    </w:p>
    <w:p w:rsidR="00B008D6" w:rsidRDefault="00B008D6" w:rsidP="00B008D6">
      <w:pPr>
        <w:spacing w:after="0" w:line="240" w:lineRule="auto"/>
        <w:rPr>
          <w:rFonts w:ascii="Helvetica" w:eastAsia="Times New Roman" w:hAnsi="Helvetica" w:cs="Helvetica"/>
          <w:color w:val="252324"/>
          <w:sz w:val="21"/>
          <w:szCs w:val="21"/>
        </w:rPr>
      </w:pPr>
      <w:r>
        <w:rPr>
          <w:rFonts w:ascii="Helvetica" w:eastAsia="Times New Roman" w:hAnsi="Helvetica" w:cs="Helvetica"/>
          <w:b/>
          <w:bCs/>
          <w:noProof/>
          <w:color w:val="252324"/>
          <w:sz w:val="24"/>
          <w:szCs w:val="24"/>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381250" cy="3143250"/>
            <wp:effectExtent l="19050" t="0" r="0" b="0"/>
            <wp:wrapSquare wrapText="bothSides"/>
            <wp:docPr id="16" name="Picture 16" descr="monitor 724.in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onitor 724.indd"/>
                    <pic:cNvPicPr>
                      <a:picLocks noChangeAspect="1" noChangeArrowheads="1"/>
                    </pic:cNvPicPr>
                  </pic:nvPicPr>
                  <pic:blipFill>
                    <a:blip r:embed="rId5"/>
                    <a:srcRect/>
                    <a:stretch>
                      <a:fillRect/>
                    </a:stretch>
                  </pic:blipFill>
                  <pic:spPr bwMode="auto">
                    <a:xfrm>
                      <a:off x="0" y="0"/>
                      <a:ext cx="2381250" cy="3143250"/>
                    </a:xfrm>
                    <a:prstGeom prst="rect">
                      <a:avLst/>
                    </a:prstGeom>
                    <a:noFill/>
                    <a:ln w="9525">
                      <a:noFill/>
                      <a:miter lim="800000"/>
                      <a:headEnd/>
                      <a:tailEnd/>
                    </a:ln>
                  </pic:spPr>
                </pic:pic>
              </a:graphicData>
            </a:graphic>
          </wp:anchor>
        </w:drawing>
      </w:r>
      <w:r>
        <w:rPr>
          <w:rFonts w:ascii="Helvetica" w:eastAsia="Times New Roman" w:hAnsi="Helvetica" w:cs="Helvetica"/>
          <w:color w:val="252324"/>
          <w:sz w:val="21"/>
          <w:szCs w:val="21"/>
        </w:rPr>
        <w:br w:type="textWrapping" w:clear="all"/>
      </w:r>
    </w:p>
    <w:p w:rsidR="00B008D6" w:rsidRPr="00B008D6" w:rsidRDefault="00B008D6" w:rsidP="00B008D6">
      <w:pPr>
        <w:spacing w:after="0" w:line="240" w:lineRule="auto"/>
        <w:rPr>
          <w:rFonts w:ascii="Helvetica" w:eastAsia="Times New Roman" w:hAnsi="Helvetica" w:cs="Helvetica"/>
          <w:color w:val="252324"/>
          <w:sz w:val="21"/>
          <w:szCs w:val="21"/>
        </w:rPr>
      </w:pPr>
    </w:p>
    <w:p w:rsidR="00B008D6" w:rsidRDefault="00B008D6" w:rsidP="00B008D6">
      <w:pPr>
        <w:spacing w:after="0" w:line="240" w:lineRule="auto"/>
        <w:rPr>
          <w:rFonts w:ascii="Helvetica" w:eastAsia="Times New Roman" w:hAnsi="Helvetica" w:cs="Helvetica"/>
          <w:b/>
          <w:bCs/>
          <w:color w:val="252324"/>
          <w:sz w:val="24"/>
          <w:szCs w:val="24"/>
        </w:rPr>
      </w:pPr>
      <w:r w:rsidRPr="00B008D6">
        <w:rPr>
          <w:rFonts w:ascii="Helvetica" w:eastAsia="Times New Roman" w:hAnsi="Helvetica" w:cs="Helvetica"/>
          <w:b/>
          <w:bCs/>
          <w:color w:val="252324"/>
          <w:sz w:val="24"/>
          <w:szCs w:val="24"/>
        </w:rPr>
        <w:t>Si e vlerësoni ecurinë e sistemit bankar dhe të bankës suaj në vitin 2015?</w:t>
      </w:r>
    </w:p>
    <w:p w:rsidR="00B008D6" w:rsidRPr="00B008D6" w:rsidRDefault="00B008D6" w:rsidP="00B008D6">
      <w:pPr>
        <w:spacing w:after="0" w:line="240" w:lineRule="auto"/>
        <w:rPr>
          <w:rFonts w:ascii="Helvetica" w:eastAsia="Times New Roman" w:hAnsi="Helvetica" w:cs="Helvetica"/>
          <w:color w:val="252324"/>
          <w:sz w:val="21"/>
          <w:szCs w:val="21"/>
        </w:rPr>
      </w:pPr>
    </w:p>
    <w:p w:rsidR="00B008D6" w:rsidRPr="00B008D6" w:rsidRDefault="00B008D6" w:rsidP="00B008D6">
      <w:pPr>
        <w:spacing w:after="180" w:line="240" w:lineRule="auto"/>
        <w:rPr>
          <w:rFonts w:ascii="Helvetica" w:eastAsia="Times New Roman" w:hAnsi="Helvetica" w:cs="Helvetica"/>
          <w:color w:val="252324"/>
          <w:sz w:val="21"/>
          <w:szCs w:val="21"/>
        </w:rPr>
      </w:pPr>
      <w:r w:rsidRPr="00B008D6">
        <w:rPr>
          <w:rFonts w:ascii="Helvetica" w:eastAsia="Times New Roman" w:hAnsi="Helvetica" w:cs="Helvetica"/>
          <w:color w:val="252324"/>
          <w:sz w:val="21"/>
          <w:szCs w:val="21"/>
        </w:rPr>
        <w:t>Sistemi bankar shënoi ecuri të mirë në vitin 2015. Aktivet dhe depozitat vazhduan tendencën e tyre në rritje, (megjithëse me një rritje të vogël) dhe përfitueshmëria e sektorit ka qenë pozitive. Sistemi bankar mbetet likuid dhe i qëndrueshëm. Gjithashtu ka pasur përmirësime në cilësinë e portofolit, me një rënie materiale të normës së NPL-ve.</w:t>
      </w:r>
    </w:p>
    <w:p w:rsidR="00B008D6" w:rsidRPr="00B008D6" w:rsidRDefault="00B008D6" w:rsidP="00B008D6">
      <w:pPr>
        <w:spacing w:after="180" w:line="240" w:lineRule="auto"/>
        <w:rPr>
          <w:rFonts w:ascii="Helvetica" w:eastAsia="Times New Roman" w:hAnsi="Helvetica" w:cs="Helvetica"/>
          <w:color w:val="252324"/>
          <w:sz w:val="21"/>
          <w:szCs w:val="21"/>
        </w:rPr>
      </w:pPr>
      <w:r w:rsidRPr="00B008D6">
        <w:rPr>
          <w:rFonts w:ascii="Helvetica" w:eastAsia="Times New Roman" w:hAnsi="Helvetica" w:cs="Helvetica"/>
          <w:color w:val="252324"/>
          <w:sz w:val="21"/>
          <w:szCs w:val="21"/>
        </w:rPr>
        <w:t>2015 ka qenë një vit shumë i suksesshëm për SGAL. Ne kemi rritur në mënyrë të konsiderueshme portofolin tonë të huave si tek individët ashtu dhe korporatat, kemi rritur pjesën tonë të tregut në të dy segmentet, duke arritur pak më shumë se 8% të tregut për huat. Ne kemi qenë shumë aktivë gjithashtu në rritjen e bazës së klientëve dhe në aktivitetin në tërësi. Cilësia e portofolit tonë të huave mbetet me një standard shumë të lartë, me një nivel të ulët të NLP-ve, prej 8.5%.</w:t>
      </w:r>
    </w:p>
    <w:p w:rsidR="00B008D6" w:rsidRPr="00B008D6" w:rsidRDefault="00B008D6" w:rsidP="00B008D6">
      <w:pPr>
        <w:spacing w:after="0" w:line="240" w:lineRule="auto"/>
        <w:rPr>
          <w:rFonts w:ascii="Helvetica" w:eastAsia="Times New Roman" w:hAnsi="Helvetica" w:cs="Helvetica"/>
          <w:color w:val="252324"/>
          <w:sz w:val="21"/>
          <w:szCs w:val="21"/>
        </w:rPr>
      </w:pPr>
      <w:r w:rsidRPr="00B008D6">
        <w:rPr>
          <w:rFonts w:ascii="Helvetica" w:eastAsia="Times New Roman" w:hAnsi="Helvetica" w:cs="Helvetica"/>
          <w:b/>
          <w:bCs/>
          <w:color w:val="252324"/>
          <w:sz w:val="24"/>
          <w:szCs w:val="24"/>
        </w:rPr>
        <w:t> </w:t>
      </w:r>
    </w:p>
    <w:p w:rsidR="00B008D6" w:rsidRPr="00B008D6" w:rsidRDefault="00B008D6" w:rsidP="00B008D6">
      <w:pPr>
        <w:spacing w:after="0" w:line="240" w:lineRule="auto"/>
        <w:rPr>
          <w:rFonts w:ascii="Helvetica" w:eastAsia="Times New Roman" w:hAnsi="Helvetica" w:cs="Helvetica"/>
          <w:color w:val="252324"/>
          <w:sz w:val="21"/>
          <w:szCs w:val="21"/>
        </w:rPr>
      </w:pPr>
      <w:r w:rsidRPr="00B008D6">
        <w:rPr>
          <w:rFonts w:ascii="Helvetica" w:eastAsia="Times New Roman" w:hAnsi="Helvetica" w:cs="Helvetica"/>
          <w:i/>
          <w:iCs/>
          <w:color w:val="252324"/>
          <w:sz w:val="24"/>
          <w:szCs w:val="24"/>
        </w:rPr>
        <w:t>Cilat janë pritshmëritë për sistemin bankar dhe bankën tuaj për vitin 2016?</w:t>
      </w:r>
    </w:p>
    <w:p w:rsidR="00B008D6" w:rsidRPr="00B008D6" w:rsidRDefault="00B008D6" w:rsidP="00B008D6">
      <w:pPr>
        <w:spacing w:after="180" w:line="240" w:lineRule="auto"/>
        <w:rPr>
          <w:rFonts w:ascii="Helvetica" w:eastAsia="Times New Roman" w:hAnsi="Helvetica" w:cs="Helvetica"/>
          <w:color w:val="252324"/>
          <w:sz w:val="21"/>
          <w:szCs w:val="21"/>
        </w:rPr>
      </w:pPr>
      <w:r w:rsidRPr="00B008D6">
        <w:rPr>
          <w:rFonts w:ascii="Helvetica" w:eastAsia="Times New Roman" w:hAnsi="Helvetica" w:cs="Helvetica"/>
          <w:color w:val="252324"/>
          <w:sz w:val="21"/>
          <w:szCs w:val="21"/>
        </w:rPr>
        <w:t>Pritshmëritë e mia për SGAL janë që të arrihet një performancë edhe më e mirë këtë vit, me një rritje të portofolit të huave, shtim të aktivitetit dhe përfitueshmërisë. Ne jemi në rrugën e duhur dhe jemi shumë optimistë për të arritur këtë. Gjithsesi, përtej shifrave financiare, ne e konsiderojmë si shumë të rëndësishme të ofrojmë shërbim të shkëlqyer për klientët tanë dhe ky do të jetë orientimi ynë për të zbatuar disa risi në treg këtë vit, duke synuar të përmirësojmë kënaqësinë e klientit.</w:t>
      </w:r>
    </w:p>
    <w:p w:rsidR="00B008D6" w:rsidRPr="00B008D6" w:rsidRDefault="00B008D6" w:rsidP="00B008D6">
      <w:pPr>
        <w:spacing w:after="180" w:line="240" w:lineRule="auto"/>
        <w:rPr>
          <w:rFonts w:ascii="Helvetica" w:eastAsia="Times New Roman" w:hAnsi="Helvetica" w:cs="Helvetica"/>
          <w:color w:val="252324"/>
          <w:sz w:val="21"/>
          <w:szCs w:val="21"/>
        </w:rPr>
      </w:pPr>
      <w:r w:rsidRPr="00B008D6">
        <w:rPr>
          <w:rFonts w:ascii="Helvetica" w:eastAsia="Times New Roman" w:hAnsi="Helvetica" w:cs="Helvetica"/>
          <w:color w:val="252324"/>
          <w:sz w:val="21"/>
          <w:szCs w:val="21"/>
        </w:rPr>
        <w:t xml:space="preserve">Unë jam gjithashtu shumë pozitiv për sistemin bankar. Sektori bankar, pavarësisht nga vështirësitë e rritjes së ulët ekonomike, ka qenë në gjendje të qëndrojë i fortë dhe në një situatë shumë të mirë </w:t>
      </w:r>
      <w:r w:rsidRPr="00B008D6">
        <w:rPr>
          <w:rFonts w:ascii="Helvetica" w:eastAsia="Times New Roman" w:hAnsi="Helvetica" w:cs="Helvetica"/>
          <w:color w:val="252324"/>
          <w:sz w:val="21"/>
          <w:szCs w:val="21"/>
        </w:rPr>
        <w:lastRenderedPageBreak/>
        <w:t>financiare. Unë mendoj se periudha më e vështirë është pas nesh dhe sektori bankar do të jetë edhe më i fortë në vitet në vijim.</w:t>
      </w:r>
      <w:r w:rsidRPr="00B008D6">
        <w:rPr>
          <w:rFonts w:ascii="Helvetica" w:eastAsia="Times New Roman" w:hAnsi="Helvetica" w:cs="Helvetica"/>
          <w:b/>
          <w:bCs/>
          <w:color w:val="252324"/>
          <w:sz w:val="24"/>
          <w:szCs w:val="24"/>
        </w:rPr>
        <w:t> </w:t>
      </w:r>
    </w:p>
    <w:p w:rsidR="00B008D6" w:rsidRPr="00B008D6" w:rsidRDefault="00B008D6" w:rsidP="00B008D6">
      <w:pPr>
        <w:spacing w:after="0" w:line="240" w:lineRule="auto"/>
        <w:rPr>
          <w:rFonts w:ascii="Helvetica" w:eastAsia="Times New Roman" w:hAnsi="Helvetica" w:cs="Helvetica"/>
          <w:b/>
          <w:bCs/>
          <w:color w:val="252324"/>
          <w:sz w:val="24"/>
          <w:szCs w:val="24"/>
        </w:rPr>
      </w:pPr>
      <w:r w:rsidRPr="00B008D6">
        <w:rPr>
          <w:rFonts w:ascii="Helvetica" w:eastAsia="Times New Roman" w:hAnsi="Helvetica" w:cs="Helvetica"/>
          <w:b/>
          <w:bCs/>
          <w:color w:val="252324"/>
          <w:sz w:val="24"/>
          <w:szCs w:val="24"/>
        </w:rPr>
        <w:t>Në vitin 2015, rritja e kredis</w:t>
      </w:r>
      <w:r w:rsidRPr="00B008D6">
        <w:rPr>
          <w:rFonts w:ascii="Helvetica" w:eastAsia="Times New Roman" w:hAnsi="Helvetica" w:cs="Helvetica"/>
          <w:b/>
          <w:i/>
          <w:iCs/>
          <w:color w:val="252324"/>
          <w:sz w:val="24"/>
          <w:szCs w:val="24"/>
        </w:rPr>
        <w:t>ë</w:t>
      </w:r>
      <w:r w:rsidRPr="00B008D6">
        <w:rPr>
          <w:rFonts w:ascii="Helvetica" w:eastAsia="Times New Roman" w:hAnsi="Helvetica" w:cs="Helvetica"/>
          <w:b/>
          <w:bCs/>
          <w:color w:val="252324"/>
          <w:sz w:val="24"/>
          <w:szCs w:val="24"/>
        </w:rPr>
        <w:t> ishte n</w:t>
      </w:r>
      <w:r w:rsidRPr="00B008D6">
        <w:rPr>
          <w:rFonts w:ascii="Helvetica" w:eastAsia="Times New Roman" w:hAnsi="Helvetica" w:cs="Helvetica"/>
          <w:b/>
          <w:i/>
          <w:iCs/>
          <w:color w:val="252324"/>
          <w:sz w:val="24"/>
          <w:szCs w:val="24"/>
        </w:rPr>
        <w:t>ë</w:t>
      </w:r>
      <w:r w:rsidRPr="00B008D6">
        <w:rPr>
          <w:rFonts w:ascii="Helvetica" w:eastAsia="Times New Roman" w:hAnsi="Helvetica" w:cs="Helvetica"/>
          <w:b/>
          <w:bCs/>
          <w:color w:val="252324"/>
          <w:sz w:val="24"/>
          <w:szCs w:val="24"/>
        </w:rPr>
        <w:t> nivelet m</w:t>
      </w:r>
      <w:r w:rsidRPr="00B008D6">
        <w:rPr>
          <w:rFonts w:ascii="Helvetica" w:eastAsia="Times New Roman" w:hAnsi="Helvetica" w:cs="Helvetica"/>
          <w:b/>
          <w:i/>
          <w:iCs/>
          <w:color w:val="252324"/>
          <w:sz w:val="24"/>
          <w:szCs w:val="24"/>
        </w:rPr>
        <w:t>ë</w:t>
      </w:r>
      <w:r w:rsidRPr="00B008D6">
        <w:rPr>
          <w:rFonts w:ascii="Helvetica" w:eastAsia="Times New Roman" w:hAnsi="Helvetica" w:cs="Helvetica"/>
          <w:b/>
          <w:bCs/>
          <w:color w:val="252324"/>
          <w:sz w:val="24"/>
          <w:szCs w:val="24"/>
        </w:rPr>
        <w:t> t</w:t>
      </w:r>
      <w:r w:rsidRPr="00B008D6">
        <w:rPr>
          <w:rFonts w:ascii="Helvetica" w:eastAsia="Times New Roman" w:hAnsi="Helvetica" w:cs="Helvetica"/>
          <w:b/>
          <w:i/>
          <w:iCs/>
          <w:color w:val="252324"/>
          <w:sz w:val="24"/>
          <w:szCs w:val="24"/>
        </w:rPr>
        <w:t>ë</w:t>
      </w:r>
      <w:r w:rsidRPr="00B008D6">
        <w:rPr>
          <w:rFonts w:ascii="Helvetica" w:eastAsia="Times New Roman" w:hAnsi="Helvetica" w:cs="Helvetica"/>
          <w:b/>
          <w:bCs/>
          <w:color w:val="252324"/>
          <w:sz w:val="24"/>
          <w:szCs w:val="24"/>
        </w:rPr>
        <w:t> ul</w:t>
      </w:r>
      <w:r w:rsidRPr="00B008D6">
        <w:rPr>
          <w:rFonts w:ascii="Helvetica" w:eastAsia="Times New Roman" w:hAnsi="Helvetica" w:cs="Helvetica"/>
          <w:b/>
          <w:i/>
          <w:iCs/>
          <w:color w:val="252324"/>
          <w:sz w:val="24"/>
          <w:szCs w:val="24"/>
        </w:rPr>
        <w:t>ë</w:t>
      </w:r>
      <w:r w:rsidRPr="00B008D6">
        <w:rPr>
          <w:rFonts w:ascii="Helvetica" w:eastAsia="Times New Roman" w:hAnsi="Helvetica" w:cs="Helvetica"/>
          <w:b/>
          <w:bCs/>
          <w:color w:val="252324"/>
          <w:sz w:val="24"/>
          <w:szCs w:val="24"/>
        </w:rPr>
        <w:t>ta historike. Sipas jush, cilat jan</w:t>
      </w:r>
      <w:r w:rsidRPr="00B008D6">
        <w:rPr>
          <w:rFonts w:ascii="Helvetica" w:eastAsia="Times New Roman" w:hAnsi="Helvetica" w:cs="Helvetica"/>
          <w:b/>
          <w:i/>
          <w:iCs/>
          <w:color w:val="252324"/>
          <w:sz w:val="24"/>
          <w:szCs w:val="24"/>
        </w:rPr>
        <w:t>ë</w:t>
      </w:r>
      <w:r w:rsidRPr="00B008D6">
        <w:rPr>
          <w:rFonts w:ascii="Helvetica" w:eastAsia="Times New Roman" w:hAnsi="Helvetica" w:cs="Helvetica"/>
          <w:b/>
          <w:bCs/>
          <w:color w:val="252324"/>
          <w:sz w:val="24"/>
          <w:szCs w:val="24"/>
        </w:rPr>
        <w:t>arsyet dhe si e prisni ecurinë e huas p</w:t>
      </w:r>
      <w:r w:rsidRPr="00B008D6">
        <w:rPr>
          <w:rFonts w:ascii="Helvetica" w:eastAsia="Times New Roman" w:hAnsi="Helvetica" w:cs="Helvetica"/>
          <w:b/>
          <w:i/>
          <w:iCs/>
          <w:color w:val="252324"/>
          <w:sz w:val="24"/>
          <w:szCs w:val="24"/>
        </w:rPr>
        <w:t>ë</w:t>
      </w:r>
      <w:r w:rsidRPr="00B008D6">
        <w:rPr>
          <w:rFonts w:ascii="Helvetica" w:eastAsia="Times New Roman" w:hAnsi="Helvetica" w:cs="Helvetica"/>
          <w:b/>
          <w:bCs/>
          <w:color w:val="252324"/>
          <w:sz w:val="24"/>
          <w:szCs w:val="24"/>
        </w:rPr>
        <w:t>r bank</w:t>
      </w:r>
      <w:r w:rsidRPr="00B008D6">
        <w:rPr>
          <w:rFonts w:ascii="Helvetica" w:eastAsia="Times New Roman" w:hAnsi="Helvetica" w:cs="Helvetica"/>
          <w:b/>
          <w:i/>
          <w:iCs/>
          <w:color w:val="252324"/>
          <w:sz w:val="24"/>
          <w:szCs w:val="24"/>
        </w:rPr>
        <w:t>ë</w:t>
      </w:r>
      <w:r w:rsidRPr="00B008D6">
        <w:rPr>
          <w:rFonts w:ascii="Helvetica" w:eastAsia="Times New Roman" w:hAnsi="Helvetica" w:cs="Helvetica"/>
          <w:b/>
          <w:bCs/>
          <w:color w:val="252324"/>
          <w:sz w:val="24"/>
          <w:szCs w:val="24"/>
        </w:rPr>
        <w:t>n tuaj dhe sistemin bankar n</w:t>
      </w:r>
      <w:r w:rsidRPr="00B008D6">
        <w:rPr>
          <w:rFonts w:ascii="Helvetica" w:eastAsia="Times New Roman" w:hAnsi="Helvetica" w:cs="Helvetica"/>
          <w:b/>
          <w:i/>
          <w:iCs/>
          <w:color w:val="252324"/>
          <w:sz w:val="24"/>
          <w:szCs w:val="24"/>
        </w:rPr>
        <w:t>ë</w:t>
      </w:r>
      <w:r w:rsidRPr="00B008D6">
        <w:rPr>
          <w:rFonts w:ascii="Helvetica" w:eastAsia="Times New Roman" w:hAnsi="Helvetica" w:cs="Helvetica"/>
          <w:b/>
          <w:bCs/>
          <w:color w:val="252324"/>
          <w:sz w:val="24"/>
          <w:szCs w:val="24"/>
        </w:rPr>
        <w:t> afatin e shkurt</w:t>
      </w:r>
      <w:r w:rsidRPr="00B008D6">
        <w:rPr>
          <w:rFonts w:ascii="Helvetica" w:eastAsia="Times New Roman" w:hAnsi="Helvetica" w:cs="Helvetica"/>
          <w:b/>
          <w:i/>
          <w:iCs/>
          <w:color w:val="252324"/>
          <w:sz w:val="24"/>
          <w:szCs w:val="24"/>
        </w:rPr>
        <w:t>ë</w:t>
      </w:r>
      <w:r w:rsidRPr="00B008D6">
        <w:rPr>
          <w:rFonts w:ascii="Helvetica" w:eastAsia="Times New Roman" w:hAnsi="Helvetica" w:cs="Helvetica"/>
          <w:b/>
          <w:bCs/>
          <w:color w:val="252324"/>
          <w:sz w:val="24"/>
          <w:szCs w:val="24"/>
        </w:rPr>
        <w:t>r dhe t</w:t>
      </w:r>
      <w:r w:rsidRPr="00B008D6">
        <w:rPr>
          <w:rFonts w:ascii="Helvetica" w:eastAsia="Times New Roman" w:hAnsi="Helvetica" w:cs="Helvetica"/>
          <w:b/>
          <w:i/>
          <w:iCs/>
          <w:color w:val="252324"/>
          <w:sz w:val="24"/>
          <w:szCs w:val="24"/>
        </w:rPr>
        <w:t>ë</w:t>
      </w:r>
      <w:r w:rsidRPr="00B008D6">
        <w:rPr>
          <w:rFonts w:ascii="Helvetica" w:eastAsia="Times New Roman" w:hAnsi="Helvetica" w:cs="Helvetica"/>
          <w:b/>
          <w:bCs/>
          <w:color w:val="252324"/>
          <w:sz w:val="24"/>
          <w:szCs w:val="24"/>
        </w:rPr>
        <w:t> mes</w:t>
      </w:r>
      <w:r w:rsidRPr="00B008D6">
        <w:rPr>
          <w:rFonts w:ascii="Helvetica" w:eastAsia="Times New Roman" w:hAnsi="Helvetica" w:cs="Helvetica"/>
          <w:b/>
          <w:i/>
          <w:iCs/>
          <w:color w:val="252324"/>
          <w:sz w:val="24"/>
          <w:szCs w:val="24"/>
        </w:rPr>
        <w:t>ë</w:t>
      </w:r>
      <w:r w:rsidRPr="00B008D6">
        <w:rPr>
          <w:rFonts w:ascii="Helvetica" w:eastAsia="Times New Roman" w:hAnsi="Helvetica" w:cs="Helvetica"/>
          <w:b/>
          <w:bCs/>
          <w:color w:val="252324"/>
          <w:sz w:val="24"/>
          <w:szCs w:val="24"/>
        </w:rPr>
        <w:t>m?</w:t>
      </w:r>
    </w:p>
    <w:p w:rsidR="00B008D6" w:rsidRPr="00B008D6" w:rsidRDefault="00B008D6" w:rsidP="00B008D6">
      <w:pPr>
        <w:spacing w:after="0" w:line="240" w:lineRule="auto"/>
        <w:rPr>
          <w:rFonts w:ascii="Helvetica" w:eastAsia="Times New Roman" w:hAnsi="Helvetica" w:cs="Helvetica"/>
          <w:color w:val="252324"/>
          <w:sz w:val="21"/>
          <w:szCs w:val="21"/>
        </w:rPr>
      </w:pPr>
    </w:p>
    <w:p w:rsidR="00B008D6" w:rsidRPr="00B008D6" w:rsidRDefault="00B008D6" w:rsidP="00B008D6">
      <w:pPr>
        <w:spacing w:after="180" w:line="240" w:lineRule="auto"/>
        <w:rPr>
          <w:rFonts w:ascii="Helvetica" w:eastAsia="Times New Roman" w:hAnsi="Helvetica" w:cs="Helvetica"/>
          <w:color w:val="252324"/>
          <w:sz w:val="21"/>
          <w:szCs w:val="21"/>
        </w:rPr>
      </w:pPr>
      <w:r w:rsidRPr="00B008D6">
        <w:rPr>
          <w:rFonts w:ascii="Helvetica" w:eastAsia="Times New Roman" w:hAnsi="Helvetica" w:cs="Helvetica"/>
          <w:color w:val="252324"/>
          <w:sz w:val="21"/>
          <w:szCs w:val="21"/>
        </w:rPr>
        <w:t>Arsyet e rritjes së ulët të kredisë janë të shumta si: rritja e ulët e viteve të fundit, situata ekonomike globale, pasiguria e përgjithshme për të ardhmen si nga bizneset ashtu dhe individët, shumë biznese janë ende në borxhe dhe në proces ristrukturimi etj. Për të mos u neglizhuar janë gjithashtu dhe efektet teknike të fshirjes së paprecedentë të kredive në kuadrin e planit të Bankës së Shqipërisë për reduktimin e NPL-ve.</w:t>
      </w:r>
    </w:p>
    <w:p w:rsidR="00B008D6" w:rsidRPr="00B008D6" w:rsidRDefault="00B008D6" w:rsidP="00B008D6">
      <w:pPr>
        <w:spacing w:after="180" w:line="240" w:lineRule="auto"/>
        <w:rPr>
          <w:rFonts w:ascii="Helvetica" w:eastAsia="Times New Roman" w:hAnsi="Helvetica" w:cs="Helvetica"/>
          <w:color w:val="252324"/>
          <w:sz w:val="21"/>
          <w:szCs w:val="21"/>
        </w:rPr>
      </w:pPr>
      <w:r w:rsidRPr="00B008D6">
        <w:rPr>
          <w:rFonts w:ascii="Helvetica" w:eastAsia="Times New Roman" w:hAnsi="Helvetica" w:cs="Helvetica"/>
          <w:color w:val="252324"/>
          <w:sz w:val="21"/>
          <w:szCs w:val="21"/>
        </w:rPr>
        <w:t>Unë pres që rritja e kredisë në sistemin bankar të përmirësohet lehtë këtë vit, por që do të mbetet ende në nivele të ulëta. Pres një rritje më domethënëse në afatin e mesëm.</w:t>
      </w:r>
    </w:p>
    <w:p w:rsidR="00B008D6" w:rsidRPr="00B008D6" w:rsidRDefault="00B008D6" w:rsidP="00B008D6">
      <w:pPr>
        <w:spacing w:after="180" w:line="240" w:lineRule="auto"/>
        <w:rPr>
          <w:rFonts w:ascii="Helvetica" w:eastAsia="Times New Roman" w:hAnsi="Helvetica" w:cs="Helvetica"/>
          <w:color w:val="252324"/>
          <w:sz w:val="21"/>
          <w:szCs w:val="21"/>
        </w:rPr>
      </w:pPr>
      <w:r w:rsidRPr="00B008D6">
        <w:rPr>
          <w:rFonts w:ascii="Helvetica" w:eastAsia="Times New Roman" w:hAnsi="Helvetica" w:cs="Helvetica"/>
          <w:color w:val="252324"/>
          <w:sz w:val="21"/>
          <w:szCs w:val="21"/>
        </w:rPr>
        <w:t>Për sa i përket SGAL, strategjia jonë është të vazhdojmë të rrisim kreditimin në vend dhe pritshmëritë janë që të kemi të njëjtën rritje, ose pak më të mirë se viti i kaluar. Ne jemi të angazhuar për vendin dhe për të rritur në mënyrë domethënëse aktivitetin tonë në Shqipëri.</w:t>
      </w:r>
    </w:p>
    <w:p w:rsidR="00B008D6" w:rsidRPr="00B008D6" w:rsidRDefault="00B008D6" w:rsidP="00B008D6">
      <w:pPr>
        <w:spacing w:after="0" w:line="240" w:lineRule="auto"/>
        <w:rPr>
          <w:rFonts w:ascii="Helvetica" w:eastAsia="Times New Roman" w:hAnsi="Helvetica" w:cs="Helvetica"/>
          <w:color w:val="252324"/>
          <w:sz w:val="21"/>
          <w:szCs w:val="21"/>
        </w:rPr>
      </w:pPr>
      <w:r w:rsidRPr="00B008D6">
        <w:rPr>
          <w:rFonts w:ascii="Helvetica" w:eastAsia="Times New Roman" w:hAnsi="Helvetica" w:cs="Helvetica"/>
          <w:b/>
          <w:bCs/>
          <w:color w:val="252324"/>
          <w:sz w:val="24"/>
          <w:szCs w:val="24"/>
        </w:rPr>
        <w:t> </w:t>
      </w:r>
    </w:p>
    <w:p w:rsidR="00B008D6" w:rsidRPr="00B008D6" w:rsidRDefault="00B008D6" w:rsidP="00B008D6">
      <w:pPr>
        <w:spacing w:after="0" w:line="240" w:lineRule="auto"/>
        <w:rPr>
          <w:rFonts w:ascii="Helvetica" w:eastAsia="Times New Roman" w:hAnsi="Helvetica" w:cs="Helvetica"/>
          <w:b/>
          <w:bCs/>
          <w:color w:val="252324"/>
          <w:sz w:val="24"/>
          <w:szCs w:val="24"/>
        </w:rPr>
      </w:pPr>
      <w:r w:rsidRPr="00B008D6">
        <w:rPr>
          <w:rFonts w:ascii="Helvetica" w:eastAsia="Times New Roman" w:hAnsi="Helvetica" w:cs="Helvetica"/>
          <w:b/>
          <w:bCs/>
          <w:color w:val="252324"/>
          <w:sz w:val="24"/>
          <w:szCs w:val="24"/>
        </w:rPr>
        <w:t>Si do ta vler</w:t>
      </w:r>
      <w:r w:rsidRPr="00B008D6">
        <w:rPr>
          <w:rFonts w:ascii="Helvetica" w:eastAsia="Times New Roman" w:hAnsi="Helvetica" w:cs="Helvetica"/>
          <w:b/>
          <w:i/>
          <w:iCs/>
          <w:color w:val="252324"/>
          <w:sz w:val="24"/>
          <w:szCs w:val="24"/>
        </w:rPr>
        <w:t>ë</w:t>
      </w:r>
      <w:r w:rsidRPr="00B008D6">
        <w:rPr>
          <w:rFonts w:ascii="Helvetica" w:eastAsia="Times New Roman" w:hAnsi="Helvetica" w:cs="Helvetica"/>
          <w:b/>
          <w:bCs/>
          <w:color w:val="252324"/>
          <w:sz w:val="24"/>
          <w:szCs w:val="24"/>
        </w:rPr>
        <w:t>sonit planin e Bank</w:t>
      </w:r>
      <w:r w:rsidRPr="00B008D6">
        <w:rPr>
          <w:rFonts w:ascii="Helvetica" w:eastAsia="Times New Roman" w:hAnsi="Helvetica" w:cs="Helvetica"/>
          <w:b/>
          <w:i/>
          <w:iCs/>
          <w:color w:val="252324"/>
          <w:sz w:val="24"/>
          <w:szCs w:val="24"/>
        </w:rPr>
        <w:t>ë</w:t>
      </w:r>
      <w:r w:rsidRPr="00B008D6">
        <w:rPr>
          <w:rFonts w:ascii="Helvetica" w:eastAsia="Times New Roman" w:hAnsi="Helvetica" w:cs="Helvetica"/>
          <w:b/>
          <w:bCs/>
          <w:color w:val="252324"/>
          <w:sz w:val="24"/>
          <w:szCs w:val="24"/>
        </w:rPr>
        <w:t>s s</w:t>
      </w:r>
      <w:r w:rsidRPr="00B008D6">
        <w:rPr>
          <w:rFonts w:ascii="Helvetica" w:eastAsia="Times New Roman" w:hAnsi="Helvetica" w:cs="Helvetica"/>
          <w:b/>
          <w:i/>
          <w:iCs/>
          <w:color w:val="252324"/>
          <w:sz w:val="24"/>
          <w:szCs w:val="24"/>
        </w:rPr>
        <w:t>ë</w:t>
      </w:r>
      <w:r w:rsidRPr="00B008D6">
        <w:rPr>
          <w:rFonts w:ascii="Helvetica" w:eastAsia="Times New Roman" w:hAnsi="Helvetica" w:cs="Helvetica"/>
          <w:b/>
          <w:bCs/>
          <w:color w:val="252324"/>
          <w:sz w:val="24"/>
          <w:szCs w:val="24"/>
        </w:rPr>
        <w:t> Shqip</w:t>
      </w:r>
      <w:r w:rsidRPr="00B008D6">
        <w:rPr>
          <w:rFonts w:ascii="Helvetica" w:eastAsia="Times New Roman" w:hAnsi="Helvetica" w:cs="Helvetica"/>
          <w:b/>
          <w:i/>
          <w:iCs/>
          <w:color w:val="252324"/>
          <w:sz w:val="24"/>
          <w:szCs w:val="24"/>
        </w:rPr>
        <w:t>ë</w:t>
      </w:r>
      <w:r w:rsidRPr="00B008D6">
        <w:rPr>
          <w:rFonts w:ascii="Helvetica" w:eastAsia="Times New Roman" w:hAnsi="Helvetica" w:cs="Helvetica"/>
          <w:b/>
          <w:bCs/>
          <w:color w:val="252324"/>
          <w:sz w:val="24"/>
          <w:szCs w:val="24"/>
        </w:rPr>
        <w:t>ris</w:t>
      </w:r>
      <w:r w:rsidRPr="00B008D6">
        <w:rPr>
          <w:rFonts w:ascii="Helvetica" w:eastAsia="Times New Roman" w:hAnsi="Helvetica" w:cs="Helvetica"/>
          <w:b/>
          <w:i/>
          <w:iCs/>
          <w:color w:val="252324"/>
          <w:sz w:val="24"/>
          <w:szCs w:val="24"/>
        </w:rPr>
        <w:t>ë</w:t>
      </w:r>
      <w:r w:rsidRPr="00B008D6">
        <w:rPr>
          <w:rFonts w:ascii="Helvetica" w:eastAsia="Times New Roman" w:hAnsi="Helvetica" w:cs="Helvetica"/>
          <w:b/>
          <w:bCs/>
          <w:color w:val="252324"/>
          <w:sz w:val="24"/>
          <w:szCs w:val="24"/>
        </w:rPr>
        <w:t> p</w:t>
      </w:r>
      <w:r w:rsidRPr="00B008D6">
        <w:rPr>
          <w:rFonts w:ascii="Helvetica" w:eastAsia="Times New Roman" w:hAnsi="Helvetica" w:cs="Helvetica"/>
          <w:b/>
          <w:i/>
          <w:iCs/>
          <w:color w:val="252324"/>
          <w:sz w:val="24"/>
          <w:szCs w:val="24"/>
        </w:rPr>
        <w:t>ë</w:t>
      </w:r>
      <w:r w:rsidRPr="00B008D6">
        <w:rPr>
          <w:rFonts w:ascii="Helvetica" w:eastAsia="Times New Roman" w:hAnsi="Helvetica" w:cs="Helvetica"/>
          <w:b/>
          <w:bCs/>
          <w:color w:val="252324"/>
          <w:sz w:val="24"/>
          <w:szCs w:val="24"/>
        </w:rPr>
        <w:t>r uljen e kredive me probleme? Si e prisni ecurinë e NPL-ve n</w:t>
      </w:r>
      <w:r w:rsidRPr="00B008D6">
        <w:rPr>
          <w:rFonts w:ascii="Helvetica" w:eastAsia="Times New Roman" w:hAnsi="Helvetica" w:cs="Helvetica"/>
          <w:b/>
          <w:i/>
          <w:iCs/>
          <w:color w:val="252324"/>
          <w:sz w:val="24"/>
          <w:szCs w:val="24"/>
        </w:rPr>
        <w:t>ë</w:t>
      </w:r>
      <w:r w:rsidRPr="00B008D6">
        <w:rPr>
          <w:rFonts w:ascii="Helvetica" w:eastAsia="Times New Roman" w:hAnsi="Helvetica" w:cs="Helvetica"/>
          <w:b/>
          <w:bCs/>
          <w:color w:val="252324"/>
          <w:sz w:val="24"/>
          <w:szCs w:val="24"/>
        </w:rPr>
        <w:t> bank</w:t>
      </w:r>
      <w:r w:rsidRPr="00B008D6">
        <w:rPr>
          <w:rFonts w:ascii="Helvetica" w:eastAsia="Times New Roman" w:hAnsi="Helvetica" w:cs="Helvetica"/>
          <w:b/>
          <w:i/>
          <w:iCs/>
          <w:color w:val="252324"/>
          <w:sz w:val="24"/>
          <w:szCs w:val="24"/>
        </w:rPr>
        <w:t>ë</w:t>
      </w:r>
      <w:r w:rsidRPr="00B008D6">
        <w:rPr>
          <w:rFonts w:ascii="Helvetica" w:eastAsia="Times New Roman" w:hAnsi="Helvetica" w:cs="Helvetica"/>
          <w:b/>
          <w:bCs/>
          <w:color w:val="252324"/>
          <w:sz w:val="24"/>
          <w:szCs w:val="24"/>
        </w:rPr>
        <w:t>n tuaj?</w:t>
      </w:r>
    </w:p>
    <w:p w:rsidR="00B008D6" w:rsidRPr="00B008D6" w:rsidRDefault="00B008D6" w:rsidP="00B008D6">
      <w:pPr>
        <w:spacing w:after="0" w:line="240" w:lineRule="auto"/>
        <w:rPr>
          <w:rFonts w:ascii="Helvetica" w:eastAsia="Times New Roman" w:hAnsi="Helvetica" w:cs="Helvetica"/>
          <w:color w:val="252324"/>
          <w:sz w:val="21"/>
          <w:szCs w:val="21"/>
        </w:rPr>
      </w:pPr>
    </w:p>
    <w:p w:rsidR="00B008D6" w:rsidRPr="00B008D6" w:rsidRDefault="00B008D6" w:rsidP="00B008D6">
      <w:pPr>
        <w:spacing w:after="180" w:line="240" w:lineRule="auto"/>
        <w:rPr>
          <w:rFonts w:ascii="Helvetica" w:eastAsia="Times New Roman" w:hAnsi="Helvetica" w:cs="Helvetica"/>
          <w:color w:val="252324"/>
          <w:sz w:val="21"/>
          <w:szCs w:val="21"/>
        </w:rPr>
      </w:pPr>
      <w:r w:rsidRPr="00B008D6">
        <w:rPr>
          <w:rFonts w:ascii="Helvetica" w:eastAsia="Times New Roman" w:hAnsi="Helvetica" w:cs="Helvetica"/>
          <w:color w:val="252324"/>
          <w:sz w:val="21"/>
          <w:szCs w:val="21"/>
        </w:rPr>
        <w:t>Plani i Bankës së Shqipërisë për të reduktuar huat me probleme është i fortë dhe mbështetet fuqimisht nga sistemi bankar. Gjithsesi, ne duhet të jemi të ndërgjegjshëm që një nga elementët kyç për të reduktuar në mënyrë domethënëse NPL-të lidhet me përmirësimin domethënës të eficiencës së ekzekutimit të kolateralit.</w:t>
      </w:r>
    </w:p>
    <w:p w:rsidR="00B008D6" w:rsidRPr="00B008D6" w:rsidRDefault="00B008D6" w:rsidP="00B008D6">
      <w:pPr>
        <w:spacing w:after="180" w:line="240" w:lineRule="auto"/>
        <w:rPr>
          <w:rFonts w:ascii="Helvetica" w:eastAsia="Times New Roman" w:hAnsi="Helvetica" w:cs="Helvetica"/>
          <w:color w:val="252324"/>
          <w:sz w:val="21"/>
          <w:szCs w:val="21"/>
        </w:rPr>
      </w:pPr>
      <w:r w:rsidRPr="00B008D6">
        <w:rPr>
          <w:rFonts w:ascii="Helvetica" w:eastAsia="Times New Roman" w:hAnsi="Helvetica" w:cs="Helvetica"/>
          <w:color w:val="252324"/>
          <w:sz w:val="21"/>
          <w:szCs w:val="21"/>
        </w:rPr>
        <w:t>Për sa i përket SGAL, strategjia jonë është të vazhdojmë të mbështesim ekonominë shqiptare përmes huave në të gjitha segmentet e klientit, nga korporatat e mëdha tek individët, ndërkohë që nuk relaksohen kriteret e huadhënies, në mënyrë që të mbajmë të njëjtën cilësi në portofolin tonë.</w:t>
      </w:r>
    </w:p>
    <w:p w:rsidR="00B008D6" w:rsidRPr="00B008D6" w:rsidRDefault="00B008D6" w:rsidP="00B008D6">
      <w:pPr>
        <w:spacing w:after="180" w:line="240" w:lineRule="auto"/>
        <w:rPr>
          <w:rFonts w:ascii="Helvetica" w:eastAsia="Times New Roman" w:hAnsi="Helvetica" w:cs="Helvetica"/>
          <w:color w:val="252324"/>
          <w:sz w:val="21"/>
          <w:szCs w:val="21"/>
        </w:rPr>
      </w:pPr>
      <w:r w:rsidRPr="00B008D6">
        <w:rPr>
          <w:rFonts w:ascii="Helvetica" w:eastAsia="Times New Roman" w:hAnsi="Helvetica" w:cs="Helvetica"/>
          <w:color w:val="252324"/>
          <w:sz w:val="21"/>
          <w:szCs w:val="21"/>
        </w:rPr>
        <w:t> </w:t>
      </w:r>
    </w:p>
    <w:p w:rsidR="00B008D6" w:rsidRPr="00B008D6" w:rsidRDefault="00B008D6" w:rsidP="00B008D6">
      <w:pPr>
        <w:spacing w:after="0" w:line="240" w:lineRule="auto"/>
        <w:rPr>
          <w:rFonts w:ascii="Helvetica" w:eastAsia="Times New Roman" w:hAnsi="Helvetica" w:cs="Helvetica"/>
          <w:color w:val="252324"/>
          <w:sz w:val="21"/>
          <w:szCs w:val="21"/>
        </w:rPr>
      </w:pPr>
      <w:r w:rsidRPr="00B008D6">
        <w:rPr>
          <w:rFonts w:ascii="Helvetica" w:eastAsia="Times New Roman" w:hAnsi="Helvetica" w:cs="Helvetica"/>
          <w:i/>
          <w:iCs/>
          <w:color w:val="252324"/>
          <w:sz w:val="24"/>
          <w:szCs w:val="24"/>
        </w:rPr>
        <w:t>Cilat janë sfidat me të cilat do të përballet sistemi bankar në afatin e shkurtër dhe të mesëm?</w:t>
      </w:r>
    </w:p>
    <w:p w:rsidR="00B008D6" w:rsidRPr="00B008D6" w:rsidRDefault="00B008D6" w:rsidP="00B008D6">
      <w:pPr>
        <w:spacing w:after="180" w:line="240" w:lineRule="auto"/>
        <w:rPr>
          <w:rFonts w:ascii="Helvetica" w:eastAsia="Times New Roman" w:hAnsi="Helvetica" w:cs="Helvetica"/>
          <w:color w:val="252324"/>
          <w:sz w:val="21"/>
          <w:szCs w:val="21"/>
        </w:rPr>
      </w:pPr>
      <w:r w:rsidRPr="00B008D6">
        <w:rPr>
          <w:rFonts w:ascii="Helvetica" w:eastAsia="Times New Roman" w:hAnsi="Helvetica" w:cs="Helvetica"/>
          <w:color w:val="252324"/>
          <w:sz w:val="21"/>
          <w:szCs w:val="21"/>
        </w:rPr>
        <w:t>Sfida kryesore për sistemin bankar do të vazhdojë të jetë në afatin e mesëm rritja ekonomike, kërkesa e ulët për kredi dhe mjedisi me norma të ulëta interesi.</w:t>
      </w:r>
    </w:p>
    <w:p w:rsidR="00B008D6" w:rsidRPr="00B008D6" w:rsidRDefault="00B008D6" w:rsidP="00B008D6">
      <w:pPr>
        <w:spacing w:line="240" w:lineRule="auto"/>
        <w:rPr>
          <w:rFonts w:ascii="Helvetica" w:eastAsia="Times New Roman" w:hAnsi="Helvetica" w:cs="Helvetica"/>
          <w:color w:val="252324"/>
          <w:sz w:val="21"/>
          <w:szCs w:val="21"/>
        </w:rPr>
      </w:pPr>
      <w:r w:rsidRPr="00B008D6">
        <w:rPr>
          <w:rFonts w:ascii="Helvetica" w:eastAsia="Times New Roman" w:hAnsi="Helvetica" w:cs="Helvetica"/>
          <w:color w:val="252324"/>
          <w:sz w:val="21"/>
          <w:szCs w:val="21"/>
        </w:rPr>
        <w:t>Duke folur më në përgjithësi, sektori bankar në Shqipëri do të përballet në afatin e mesëm – por ndoshta edhe më shpejt sesa pritej – me sfidat që kjo industri po i adreson tashmë në pjesë të tjera të botës. Rritja e konkurrentëve jo banka, pritshmëritë e klientëve për shërbime më të mira përmes zgjidhjeve dixhitale, presioni për procese më eficiente dhe modele operacionale, të gjitha së bashku, do të kërkojnë më shumë investime në industrinë bankare dhe një përshtatje progresive të modelit tradicional të biznesit.</w:t>
      </w:r>
    </w:p>
    <w:p w:rsidR="0057163D" w:rsidRDefault="0057163D"/>
    <w:sectPr w:rsidR="0057163D" w:rsidSect="005716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E6EE5"/>
    <w:multiLevelType w:val="multilevel"/>
    <w:tmpl w:val="625CF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008D6"/>
    <w:rsid w:val="0057163D"/>
    <w:rsid w:val="00B008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63D"/>
  </w:style>
  <w:style w:type="paragraph" w:styleId="Heading1">
    <w:name w:val="heading 1"/>
    <w:basedOn w:val="Normal"/>
    <w:link w:val="Heading1Char"/>
    <w:uiPriority w:val="9"/>
    <w:qFormat/>
    <w:rsid w:val="00B008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8D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008D6"/>
    <w:rPr>
      <w:color w:val="0000FF"/>
      <w:u w:val="single"/>
    </w:rPr>
  </w:style>
  <w:style w:type="character" w:customStyle="1" w:styleId="signin">
    <w:name w:val="signin"/>
    <w:basedOn w:val="DefaultParagraphFont"/>
    <w:rsid w:val="00B008D6"/>
  </w:style>
  <w:style w:type="paragraph" w:styleId="z-TopofForm">
    <w:name w:val="HTML Top of Form"/>
    <w:basedOn w:val="Normal"/>
    <w:next w:val="Normal"/>
    <w:link w:val="z-TopofFormChar"/>
    <w:hidden/>
    <w:uiPriority w:val="99"/>
    <w:semiHidden/>
    <w:unhideWhenUsed/>
    <w:rsid w:val="00B008D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008D6"/>
    <w:rPr>
      <w:rFonts w:ascii="Arial" w:eastAsia="Times New Roman" w:hAnsi="Arial" w:cs="Arial"/>
      <w:vanish/>
      <w:sz w:val="16"/>
      <w:szCs w:val="16"/>
    </w:rPr>
  </w:style>
  <w:style w:type="character" w:customStyle="1" w:styleId="apple-converted-space">
    <w:name w:val="apple-converted-space"/>
    <w:basedOn w:val="DefaultParagraphFont"/>
    <w:rsid w:val="00B008D6"/>
  </w:style>
  <w:style w:type="paragraph" w:styleId="z-BottomofForm">
    <w:name w:val="HTML Bottom of Form"/>
    <w:basedOn w:val="Normal"/>
    <w:next w:val="Normal"/>
    <w:link w:val="z-BottomofFormChar"/>
    <w:hidden/>
    <w:uiPriority w:val="99"/>
    <w:semiHidden/>
    <w:unhideWhenUsed/>
    <w:rsid w:val="00B008D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008D6"/>
    <w:rPr>
      <w:rFonts w:ascii="Arial" w:eastAsia="Times New Roman" w:hAnsi="Arial" w:cs="Arial"/>
      <w:vanish/>
      <w:sz w:val="16"/>
      <w:szCs w:val="16"/>
    </w:rPr>
  </w:style>
  <w:style w:type="paragraph" w:styleId="NormalWeb">
    <w:name w:val="Normal (Web)"/>
    <w:basedOn w:val="Normal"/>
    <w:uiPriority w:val="99"/>
    <w:semiHidden/>
    <w:unhideWhenUsed/>
    <w:rsid w:val="00B008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
    <w:name w:val="date"/>
    <w:basedOn w:val="DefaultParagraphFont"/>
    <w:rsid w:val="00B008D6"/>
  </w:style>
  <w:style w:type="character" w:customStyle="1" w:styleId="comments">
    <w:name w:val="comments"/>
    <w:basedOn w:val="DefaultParagraphFont"/>
    <w:rsid w:val="00B008D6"/>
  </w:style>
  <w:style w:type="character" w:styleId="Strong">
    <w:name w:val="Strong"/>
    <w:basedOn w:val="DefaultParagraphFont"/>
    <w:uiPriority w:val="22"/>
    <w:qFormat/>
    <w:rsid w:val="00B008D6"/>
    <w:rPr>
      <w:b/>
      <w:bCs/>
    </w:rPr>
  </w:style>
  <w:style w:type="character" w:styleId="Emphasis">
    <w:name w:val="Emphasis"/>
    <w:basedOn w:val="DefaultParagraphFont"/>
    <w:uiPriority w:val="20"/>
    <w:qFormat/>
    <w:rsid w:val="00B008D6"/>
    <w:rPr>
      <w:i/>
      <w:iCs/>
    </w:rPr>
  </w:style>
  <w:style w:type="paragraph" w:styleId="BalloonText">
    <w:name w:val="Balloon Text"/>
    <w:basedOn w:val="Normal"/>
    <w:link w:val="BalloonTextChar"/>
    <w:uiPriority w:val="99"/>
    <w:semiHidden/>
    <w:unhideWhenUsed/>
    <w:rsid w:val="00B00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8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2296197">
      <w:bodyDiv w:val="1"/>
      <w:marLeft w:val="0"/>
      <w:marRight w:val="0"/>
      <w:marTop w:val="0"/>
      <w:marBottom w:val="0"/>
      <w:divBdr>
        <w:top w:val="none" w:sz="0" w:space="0" w:color="auto"/>
        <w:left w:val="none" w:sz="0" w:space="0" w:color="auto"/>
        <w:bottom w:val="none" w:sz="0" w:space="0" w:color="auto"/>
        <w:right w:val="none" w:sz="0" w:space="0" w:color="auto"/>
      </w:divBdr>
      <w:divsChild>
        <w:div w:id="250117771">
          <w:marLeft w:val="-150"/>
          <w:marRight w:val="0"/>
          <w:marTop w:val="0"/>
          <w:marBottom w:val="45"/>
          <w:divBdr>
            <w:top w:val="none" w:sz="0" w:space="0" w:color="auto"/>
            <w:left w:val="none" w:sz="0" w:space="0" w:color="auto"/>
            <w:bottom w:val="none" w:sz="0" w:space="0" w:color="auto"/>
            <w:right w:val="none" w:sz="0" w:space="0" w:color="auto"/>
          </w:divBdr>
        </w:div>
        <w:div w:id="1694989005">
          <w:marLeft w:val="0"/>
          <w:marRight w:val="-525"/>
          <w:marTop w:val="0"/>
          <w:marBottom w:val="0"/>
          <w:divBdr>
            <w:top w:val="none" w:sz="0" w:space="0" w:color="auto"/>
            <w:left w:val="none" w:sz="0" w:space="0" w:color="auto"/>
            <w:bottom w:val="none" w:sz="0" w:space="0" w:color="auto"/>
            <w:right w:val="none" w:sz="0" w:space="0" w:color="auto"/>
          </w:divBdr>
          <w:divsChild>
            <w:div w:id="975378997">
              <w:marLeft w:val="0"/>
              <w:marRight w:val="0"/>
              <w:marTop w:val="0"/>
              <w:marBottom w:val="0"/>
              <w:divBdr>
                <w:top w:val="none" w:sz="0" w:space="0" w:color="auto"/>
                <w:left w:val="none" w:sz="0" w:space="0" w:color="auto"/>
                <w:bottom w:val="none" w:sz="0" w:space="0" w:color="auto"/>
                <w:right w:val="none" w:sz="0" w:space="0" w:color="auto"/>
              </w:divBdr>
              <w:divsChild>
                <w:div w:id="1609199045">
                  <w:marLeft w:val="0"/>
                  <w:marRight w:val="0"/>
                  <w:marTop w:val="0"/>
                  <w:marBottom w:val="0"/>
                  <w:divBdr>
                    <w:top w:val="none" w:sz="0" w:space="0" w:color="auto"/>
                    <w:left w:val="none" w:sz="0" w:space="0" w:color="auto"/>
                    <w:bottom w:val="none" w:sz="0" w:space="0" w:color="auto"/>
                    <w:right w:val="none" w:sz="0" w:space="0" w:color="auto"/>
                  </w:divBdr>
                  <w:divsChild>
                    <w:div w:id="249125783">
                      <w:marLeft w:val="0"/>
                      <w:marRight w:val="0"/>
                      <w:marTop w:val="0"/>
                      <w:marBottom w:val="0"/>
                      <w:divBdr>
                        <w:top w:val="none" w:sz="0" w:space="0" w:color="auto"/>
                        <w:left w:val="none" w:sz="0" w:space="0" w:color="auto"/>
                        <w:bottom w:val="none" w:sz="0" w:space="0" w:color="auto"/>
                        <w:right w:val="none" w:sz="0" w:space="0" w:color="auto"/>
                      </w:divBdr>
                      <w:divsChild>
                        <w:div w:id="1200699868">
                          <w:marLeft w:val="975"/>
                          <w:marRight w:val="0"/>
                          <w:marTop w:val="120"/>
                          <w:marBottom w:val="0"/>
                          <w:divBdr>
                            <w:top w:val="none" w:sz="0" w:space="0" w:color="auto"/>
                            <w:left w:val="none" w:sz="0" w:space="0" w:color="auto"/>
                            <w:bottom w:val="none" w:sz="0" w:space="0" w:color="auto"/>
                            <w:right w:val="none" w:sz="0" w:space="0" w:color="auto"/>
                          </w:divBdr>
                        </w:div>
                        <w:div w:id="1104962340">
                          <w:marLeft w:val="105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42737862">
          <w:marLeft w:val="0"/>
          <w:marRight w:val="0"/>
          <w:marTop w:val="0"/>
          <w:marBottom w:val="0"/>
          <w:divBdr>
            <w:top w:val="none" w:sz="0" w:space="0" w:color="auto"/>
            <w:left w:val="none" w:sz="0" w:space="0" w:color="auto"/>
            <w:bottom w:val="none" w:sz="0" w:space="0" w:color="auto"/>
            <w:right w:val="none" w:sz="0" w:space="0" w:color="auto"/>
          </w:divBdr>
          <w:divsChild>
            <w:div w:id="703216688">
              <w:marLeft w:val="0"/>
              <w:marRight w:val="0"/>
              <w:marTop w:val="0"/>
              <w:marBottom w:val="0"/>
              <w:divBdr>
                <w:top w:val="none" w:sz="0" w:space="0" w:color="auto"/>
                <w:left w:val="none" w:sz="0" w:space="0" w:color="auto"/>
                <w:bottom w:val="none" w:sz="0" w:space="0" w:color="auto"/>
                <w:right w:val="none" w:sz="0" w:space="0" w:color="auto"/>
              </w:divBdr>
            </w:div>
            <w:div w:id="212625097">
              <w:marLeft w:val="0"/>
              <w:marRight w:val="0"/>
              <w:marTop w:val="0"/>
              <w:marBottom w:val="0"/>
              <w:divBdr>
                <w:top w:val="none" w:sz="0" w:space="0" w:color="auto"/>
                <w:left w:val="none" w:sz="0" w:space="0" w:color="auto"/>
                <w:bottom w:val="none" w:sz="0" w:space="0" w:color="auto"/>
                <w:right w:val="none" w:sz="0" w:space="0" w:color="auto"/>
              </w:divBdr>
              <w:divsChild>
                <w:div w:id="107552897">
                  <w:marLeft w:val="0"/>
                  <w:marRight w:val="0"/>
                  <w:marTop w:val="270"/>
                  <w:marBottom w:val="0"/>
                  <w:divBdr>
                    <w:top w:val="none" w:sz="0" w:space="0" w:color="auto"/>
                    <w:left w:val="none" w:sz="0" w:space="0" w:color="auto"/>
                    <w:bottom w:val="none" w:sz="0" w:space="0" w:color="auto"/>
                    <w:right w:val="none" w:sz="0" w:space="0" w:color="auto"/>
                  </w:divBdr>
                </w:div>
              </w:divsChild>
            </w:div>
            <w:div w:id="795148388">
              <w:marLeft w:val="0"/>
              <w:marRight w:val="0"/>
              <w:marTop w:val="300"/>
              <w:marBottom w:val="0"/>
              <w:divBdr>
                <w:top w:val="none" w:sz="0" w:space="0" w:color="auto"/>
                <w:left w:val="none" w:sz="0" w:space="0" w:color="auto"/>
                <w:bottom w:val="none" w:sz="0" w:space="0" w:color="auto"/>
                <w:right w:val="none" w:sz="0" w:space="0" w:color="auto"/>
              </w:divBdr>
              <w:divsChild>
                <w:div w:id="1664776211">
                  <w:marLeft w:val="0"/>
                  <w:marRight w:val="0"/>
                  <w:marTop w:val="0"/>
                  <w:marBottom w:val="0"/>
                  <w:divBdr>
                    <w:top w:val="none" w:sz="0" w:space="0" w:color="auto"/>
                    <w:left w:val="none" w:sz="0" w:space="0" w:color="auto"/>
                    <w:bottom w:val="none" w:sz="0" w:space="0" w:color="auto"/>
                    <w:right w:val="none" w:sz="0" w:space="0" w:color="auto"/>
                  </w:divBdr>
                </w:div>
                <w:div w:id="352387974">
                  <w:marLeft w:val="1500"/>
                  <w:marRight w:val="0"/>
                  <w:marTop w:val="0"/>
                  <w:marBottom w:val="0"/>
                  <w:divBdr>
                    <w:top w:val="none" w:sz="0" w:space="0" w:color="auto"/>
                    <w:left w:val="none" w:sz="0" w:space="0" w:color="auto"/>
                    <w:bottom w:val="none" w:sz="0" w:space="0" w:color="auto"/>
                    <w:right w:val="none" w:sz="0" w:space="0" w:color="auto"/>
                  </w:divBdr>
                </w:div>
                <w:div w:id="110107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59358">
          <w:marLeft w:val="-150"/>
          <w:marRight w:val="0"/>
          <w:marTop w:val="0"/>
          <w:marBottom w:val="0"/>
          <w:divBdr>
            <w:top w:val="single" w:sz="2" w:space="0" w:color="181B1C"/>
            <w:left w:val="none" w:sz="0" w:space="0" w:color="auto"/>
            <w:bottom w:val="none" w:sz="0" w:space="0" w:color="auto"/>
            <w:right w:val="none" w:sz="0" w:space="0" w:color="auto"/>
          </w:divBdr>
        </w:div>
        <w:div w:id="1697466136">
          <w:marLeft w:val="-150"/>
          <w:marRight w:val="0"/>
          <w:marTop w:val="0"/>
          <w:marBottom w:val="0"/>
          <w:divBdr>
            <w:top w:val="none" w:sz="0" w:space="0" w:color="auto"/>
            <w:left w:val="none" w:sz="0" w:space="0" w:color="auto"/>
            <w:bottom w:val="none" w:sz="0" w:space="0" w:color="auto"/>
            <w:right w:val="none" w:sz="0" w:space="0" w:color="auto"/>
          </w:divBdr>
          <w:divsChild>
            <w:div w:id="746221485">
              <w:marLeft w:val="120"/>
              <w:marRight w:val="255"/>
              <w:marTop w:val="0"/>
              <w:marBottom w:val="0"/>
              <w:divBdr>
                <w:top w:val="none" w:sz="0" w:space="0" w:color="auto"/>
                <w:left w:val="double" w:sz="6" w:space="0" w:color="auto"/>
                <w:bottom w:val="none" w:sz="0" w:space="0" w:color="auto"/>
                <w:right w:val="none" w:sz="0" w:space="0" w:color="auto"/>
              </w:divBdr>
              <w:divsChild>
                <w:div w:id="850726040">
                  <w:marLeft w:val="75"/>
                  <w:marRight w:val="0"/>
                  <w:marTop w:val="0"/>
                  <w:marBottom w:val="0"/>
                  <w:divBdr>
                    <w:top w:val="none" w:sz="0" w:space="0" w:color="auto"/>
                    <w:left w:val="none" w:sz="0" w:space="0" w:color="auto"/>
                    <w:bottom w:val="none" w:sz="0" w:space="0" w:color="auto"/>
                    <w:right w:val="none" w:sz="0" w:space="0" w:color="auto"/>
                  </w:divBdr>
                  <w:divsChild>
                    <w:div w:id="1226259845">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 w:id="1919167496">
              <w:marLeft w:val="120"/>
              <w:marRight w:val="255"/>
              <w:marTop w:val="0"/>
              <w:marBottom w:val="0"/>
              <w:divBdr>
                <w:top w:val="none" w:sz="0" w:space="0" w:color="auto"/>
                <w:left w:val="none" w:sz="0" w:space="0" w:color="auto"/>
                <w:bottom w:val="none" w:sz="0" w:space="0" w:color="auto"/>
                <w:right w:val="none" w:sz="0" w:space="0" w:color="auto"/>
              </w:divBdr>
              <w:divsChild>
                <w:div w:id="1790737657">
                  <w:marLeft w:val="0"/>
                  <w:marRight w:val="0"/>
                  <w:marTop w:val="0"/>
                  <w:marBottom w:val="0"/>
                  <w:divBdr>
                    <w:top w:val="none" w:sz="0" w:space="0" w:color="auto"/>
                    <w:left w:val="none" w:sz="0" w:space="0" w:color="auto"/>
                    <w:bottom w:val="none" w:sz="0" w:space="0" w:color="auto"/>
                    <w:right w:val="none" w:sz="0" w:space="0" w:color="auto"/>
                  </w:divBdr>
                </w:div>
                <w:div w:id="1052339597">
                  <w:marLeft w:val="75"/>
                  <w:marRight w:val="0"/>
                  <w:marTop w:val="0"/>
                  <w:marBottom w:val="0"/>
                  <w:divBdr>
                    <w:top w:val="none" w:sz="0" w:space="0" w:color="auto"/>
                    <w:left w:val="none" w:sz="0" w:space="0" w:color="auto"/>
                    <w:bottom w:val="none" w:sz="0" w:space="0" w:color="auto"/>
                    <w:right w:val="none" w:sz="0" w:space="0" w:color="auto"/>
                  </w:divBdr>
                  <w:divsChild>
                    <w:div w:id="166557819">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 w:id="1888683675">
              <w:marLeft w:val="0"/>
              <w:marRight w:val="0"/>
              <w:marTop w:val="0"/>
              <w:marBottom w:val="0"/>
              <w:divBdr>
                <w:top w:val="none" w:sz="0" w:space="0" w:color="auto"/>
                <w:left w:val="none" w:sz="0" w:space="0" w:color="auto"/>
                <w:bottom w:val="none" w:sz="0" w:space="0" w:color="auto"/>
                <w:right w:val="single" w:sz="12" w:space="0" w:color="auto"/>
              </w:divBdr>
              <w:divsChild>
                <w:div w:id="1401903060">
                  <w:marLeft w:val="0"/>
                  <w:marRight w:val="0"/>
                  <w:marTop w:val="0"/>
                  <w:marBottom w:val="0"/>
                  <w:divBdr>
                    <w:top w:val="none" w:sz="0" w:space="0" w:color="auto"/>
                    <w:left w:val="none" w:sz="0" w:space="0" w:color="auto"/>
                    <w:bottom w:val="none" w:sz="0" w:space="0" w:color="auto"/>
                    <w:right w:val="none" w:sz="0" w:space="0" w:color="auto"/>
                  </w:divBdr>
                </w:div>
                <w:div w:id="1311710640">
                  <w:marLeft w:val="90"/>
                  <w:marRight w:val="0"/>
                  <w:marTop w:val="0"/>
                  <w:marBottom w:val="0"/>
                  <w:divBdr>
                    <w:top w:val="none" w:sz="0" w:space="0" w:color="auto"/>
                    <w:left w:val="none" w:sz="0" w:space="0" w:color="auto"/>
                    <w:bottom w:val="none" w:sz="0" w:space="0" w:color="auto"/>
                    <w:right w:val="none" w:sz="0" w:space="0" w:color="auto"/>
                  </w:divBdr>
                  <w:divsChild>
                    <w:div w:id="1951668821">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 w:id="1322075684">
          <w:marLeft w:val="0"/>
          <w:marRight w:val="0"/>
          <w:marTop w:val="0"/>
          <w:marBottom w:val="360"/>
          <w:divBdr>
            <w:top w:val="single" w:sz="2" w:space="0" w:color="333333"/>
            <w:left w:val="none" w:sz="0" w:space="0" w:color="auto"/>
            <w:bottom w:val="none" w:sz="0" w:space="0" w:color="auto"/>
            <w:right w:val="none" w:sz="0" w:space="0" w:color="auto"/>
          </w:divBdr>
          <w:divsChild>
            <w:div w:id="492260925">
              <w:marLeft w:val="0"/>
              <w:marRight w:val="0"/>
              <w:marTop w:val="0"/>
              <w:marBottom w:val="0"/>
              <w:divBdr>
                <w:top w:val="none" w:sz="0" w:space="0" w:color="auto"/>
                <w:left w:val="none" w:sz="0" w:space="0" w:color="auto"/>
                <w:bottom w:val="none" w:sz="0" w:space="0" w:color="auto"/>
                <w:right w:val="none" w:sz="0" w:space="0" w:color="auto"/>
              </w:divBdr>
              <w:divsChild>
                <w:div w:id="782769086">
                  <w:marLeft w:val="0"/>
                  <w:marRight w:val="0"/>
                  <w:marTop w:val="0"/>
                  <w:marBottom w:val="0"/>
                  <w:divBdr>
                    <w:top w:val="none" w:sz="0" w:space="0" w:color="auto"/>
                    <w:left w:val="none" w:sz="0" w:space="0" w:color="auto"/>
                    <w:bottom w:val="none" w:sz="0" w:space="0" w:color="auto"/>
                    <w:right w:val="none" w:sz="0" w:space="0" w:color="auto"/>
                  </w:divBdr>
                  <w:divsChild>
                    <w:div w:id="74523446">
                      <w:marLeft w:val="225"/>
                      <w:marRight w:val="75"/>
                      <w:marTop w:val="45"/>
                      <w:marBottom w:val="0"/>
                      <w:divBdr>
                        <w:top w:val="none" w:sz="0" w:space="0" w:color="auto"/>
                        <w:left w:val="none" w:sz="0" w:space="0" w:color="auto"/>
                        <w:bottom w:val="none" w:sz="0" w:space="0" w:color="auto"/>
                        <w:right w:val="none" w:sz="0" w:space="0" w:color="auto"/>
                      </w:divBdr>
                    </w:div>
                    <w:div w:id="1803693281">
                      <w:marLeft w:val="0"/>
                      <w:marRight w:val="75"/>
                      <w:marTop w:val="0"/>
                      <w:marBottom w:val="0"/>
                      <w:divBdr>
                        <w:top w:val="none" w:sz="0" w:space="0" w:color="auto"/>
                        <w:left w:val="none" w:sz="0" w:space="0" w:color="auto"/>
                        <w:bottom w:val="none" w:sz="0" w:space="0" w:color="auto"/>
                        <w:right w:val="none" w:sz="0" w:space="0" w:color="auto"/>
                      </w:divBdr>
                    </w:div>
                    <w:div w:id="1429618457">
                      <w:marLeft w:val="0"/>
                      <w:marRight w:val="75"/>
                      <w:marTop w:val="0"/>
                      <w:marBottom w:val="0"/>
                      <w:divBdr>
                        <w:top w:val="none" w:sz="0" w:space="0" w:color="auto"/>
                        <w:left w:val="none" w:sz="0" w:space="0" w:color="auto"/>
                        <w:bottom w:val="none" w:sz="0" w:space="0" w:color="auto"/>
                        <w:right w:val="none" w:sz="0" w:space="0" w:color="auto"/>
                      </w:divBdr>
                    </w:div>
                  </w:divsChild>
                </w:div>
                <w:div w:id="1705322528">
                  <w:marLeft w:val="0"/>
                  <w:marRight w:val="0"/>
                  <w:marTop w:val="0"/>
                  <w:marBottom w:val="0"/>
                  <w:divBdr>
                    <w:top w:val="none" w:sz="0" w:space="0" w:color="auto"/>
                    <w:left w:val="none" w:sz="0" w:space="0" w:color="auto"/>
                    <w:bottom w:val="none" w:sz="0" w:space="0" w:color="auto"/>
                    <w:right w:val="none" w:sz="0" w:space="0" w:color="auto"/>
                  </w:divBdr>
                </w:div>
                <w:div w:id="1452825767">
                  <w:marLeft w:val="0"/>
                  <w:marRight w:val="0"/>
                  <w:marTop w:val="0"/>
                  <w:marBottom w:val="0"/>
                  <w:divBdr>
                    <w:top w:val="none" w:sz="0" w:space="0" w:color="auto"/>
                    <w:left w:val="none" w:sz="0" w:space="0" w:color="auto"/>
                    <w:bottom w:val="none" w:sz="0" w:space="0" w:color="auto"/>
                    <w:right w:val="none" w:sz="0" w:space="0" w:color="auto"/>
                  </w:divBdr>
                </w:div>
              </w:divsChild>
            </w:div>
            <w:div w:id="1891726089">
              <w:marLeft w:val="0"/>
              <w:marRight w:val="0"/>
              <w:marTop w:val="0"/>
              <w:marBottom w:val="0"/>
              <w:divBdr>
                <w:top w:val="none" w:sz="0" w:space="0" w:color="auto"/>
                <w:left w:val="none" w:sz="0" w:space="0" w:color="auto"/>
                <w:bottom w:val="none" w:sz="0" w:space="0" w:color="auto"/>
                <w:right w:val="none" w:sz="0" w:space="0" w:color="auto"/>
              </w:divBdr>
              <w:divsChild>
                <w:div w:id="1225523800">
                  <w:marLeft w:val="0"/>
                  <w:marRight w:val="0"/>
                  <w:marTop w:val="150"/>
                  <w:marBottom w:val="150"/>
                  <w:divBdr>
                    <w:top w:val="none" w:sz="0" w:space="0" w:color="auto"/>
                    <w:left w:val="none" w:sz="0" w:space="0" w:color="auto"/>
                    <w:bottom w:val="none" w:sz="0" w:space="0" w:color="auto"/>
                    <w:right w:val="none" w:sz="0" w:space="0" w:color="auto"/>
                  </w:divBdr>
                  <w:divsChild>
                    <w:div w:id="607928671">
                      <w:marLeft w:val="0"/>
                      <w:marRight w:val="0"/>
                      <w:marTop w:val="0"/>
                      <w:marBottom w:val="75"/>
                      <w:divBdr>
                        <w:top w:val="dotted" w:sz="6" w:space="4" w:color="DDDDDD"/>
                        <w:left w:val="dotted" w:sz="6" w:space="8" w:color="DDDDDD"/>
                        <w:bottom w:val="dotted" w:sz="6" w:space="4" w:color="DDDDDD"/>
                        <w:right w:val="dotted" w:sz="6" w:space="8" w:color="DDDDDD"/>
                      </w:divBdr>
                    </w:div>
                    <w:div w:id="1802072194">
                      <w:marLeft w:val="0"/>
                      <w:marRight w:val="0"/>
                      <w:marTop w:val="150"/>
                      <w:marBottom w:val="0"/>
                      <w:divBdr>
                        <w:top w:val="none" w:sz="0" w:space="0" w:color="auto"/>
                        <w:left w:val="none" w:sz="0" w:space="0" w:color="auto"/>
                        <w:bottom w:val="none" w:sz="0" w:space="0" w:color="auto"/>
                        <w:right w:val="none" w:sz="0" w:space="0" w:color="auto"/>
                      </w:divBdr>
                    </w:div>
                    <w:div w:id="1176723013">
                      <w:marLeft w:val="0"/>
                      <w:marRight w:val="0"/>
                      <w:marTop w:val="60"/>
                      <w:marBottom w:val="225"/>
                      <w:divBdr>
                        <w:top w:val="none" w:sz="0" w:space="0" w:color="auto"/>
                        <w:left w:val="none" w:sz="0" w:space="0" w:color="auto"/>
                        <w:bottom w:val="dotted" w:sz="6" w:space="5" w:color="DDDDDD"/>
                        <w:right w:val="none" w:sz="0" w:space="0" w:color="auto"/>
                      </w:divBdr>
                    </w:div>
                    <w:div w:id="55681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671</Words>
  <Characters>3826</Characters>
  <Application>Microsoft Office Word</Application>
  <DocSecurity>0</DocSecurity>
  <Lines>31</Lines>
  <Paragraphs>8</Paragraphs>
  <ScaleCrop>false</ScaleCrop>
  <Company/>
  <LinksUpToDate>false</LinksUpToDate>
  <CharactersWithSpaces>4489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2016-04-20T07:30:00Z</dcterms:created>
  <dcterms:modified xsi:type="dcterms:W3CDTF">2016-04-20T07:33:00Z</dcterms:modified>
</cp:coreProperties>
</file>